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486F9C9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Утверждаю:</w:t>
      </w:r>
    </w:p>
    <w:p>
      <w:pPr>
        <w:pStyle w:val="P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Директор МБУК «РМДК»</w:t>
      </w:r>
    </w:p>
    <w:p>
      <w:pPr>
        <w:pStyle w:val="P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</w:t>
      </w:r>
    </w:p>
    <w:p>
      <w:pPr>
        <w:pStyle w:val="P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________  Р.Г.Шереметьева</w:t>
      </w: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 Р О Г Р А М М А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районной школы повышения квалификации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клубных работников Почепского МБУК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«Районный межпоселенческий Дом культуры»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2024 год.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цели и задачи «Школы повышения квалификации клубных работников»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ЦЕЛЬ:</w:t>
      </w:r>
      <w:r>
        <w:rPr>
          <w:rFonts w:ascii="Times New Roman" w:hAnsi="Times New Roman"/>
          <w:sz w:val="24"/>
        </w:rPr>
        <w:t xml:space="preserve"> Повышение уровня профессионального мастерства специалистов МБУК «РМДК»,  как решающего фактора улучшения культурно-досугового обслуживания населения Почепского района и упрочнение престижа учреждений культуры.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ЗАДАЧИ: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совершенствование профессионального мастерства работников КДУ района;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систематическое обучение специалистов клубных учреждений;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внедрение и продвижение новых и инновационных проектов и технологий в культурно досуговой сфере;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оказание разносторонней методической и практической помощи работникам КДУ;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информационное обеспечение клубных учреждений по направлениям деятельности;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методическое обеспечение и координация процессов сохранения и развития народного творчества и культурно-досуговой деятельности;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методических материалов по различным аспектам народного творчества и культурно- досуговой деятельности;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клубных учреждений необходимыми нормативно-правовыми документами; - выявление, обобщение и распространение положительного опыта специалистов КДУ в сфере досуга;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взаимодействия и сотрудничества с другими учреждениями культуры с целью обмена опытом и передовыми технологиями в области культуры и искусства (в сфере досуга);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круглых столов, творческих лабораторий, семинаров и конкурсов профессионального мастерства для специалистов КДУ. </w:t>
      </w:r>
    </w:p>
    <w:p>
      <w:pPr>
        <w:shd w:val="clear" w:fill="FFFFFF"/>
        <w:spacing w:lineRule="auto" w:line="240" w:after="0" w:beforeAutospacing="0" w:afterAutospacing="0"/>
        <w:ind w:hanging="284" w:left="284"/>
        <w:jc w:val="both"/>
        <w:rPr>
          <w:rFonts w:ascii="Helvetica" w:hAnsi="Helvetica"/>
          <w:color w:val="333333"/>
          <w:sz w:val="20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Helvetica" w:hAnsi="Helvetica"/>
          <w:color w:val="333333"/>
          <w:sz w:val="20"/>
        </w:rPr>
      </w:pPr>
      <w:r>
        <w:rPr>
          <w:rFonts w:ascii="Times New Roman" w:hAnsi="Times New Roman"/>
          <w:color w:val="333333"/>
          <w:sz w:val="24"/>
        </w:rPr>
        <w:t> </w:t>
      </w: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ЯНВАРЬ – 2024 года</w:t>
      </w:r>
    </w:p>
    <w:p>
      <w:pPr>
        <w:pStyle w:val="P1"/>
        <w:rPr>
          <w:rFonts w:ascii="Times New Roman" w:hAnsi="Times New Roman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Совещание работников культуры «Анализ работы за 2023 год и задачи на 2024 год».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284" w:leader="none"/>
        </w:tabs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 работы за 2023 год  и перспективы на 2024 год.</w:t>
      </w:r>
    </w:p>
    <w:p>
      <w:pPr>
        <w:pStyle w:val="P1"/>
        <w:numPr>
          <w:ilvl w:val="0"/>
          <w:numId w:val="1"/>
        </w:numPr>
        <w:tabs>
          <w:tab w:val="left" w:pos="284" w:leader="none"/>
        </w:tabs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результативности деятельности КДУ по итогам мониторинга эффективности оказания услуг населению.</w:t>
      </w:r>
    </w:p>
    <w:p>
      <w:pPr>
        <w:pStyle w:val="P1"/>
        <w:numPr>
          <w:ilvl w:val="0"/>
          <w:numId w:val="1"/>
        </w:numPr>
        <w:tabs>
          <w:tab w:val="left" w:pos="284" w:leader="none"/>
        </w:tabs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 проведение  в 2024 году районных смотров, конкурсов: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районный конкурс «Лучший работник сельского учреждения по направлению культурно-досуговая деятельность 2024 г.»;                                                             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районный конкурс «Лучшее сельское учреждение по направлению культурно-досуговая деятельность 2024 г.»;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районная выставка – конкурс декоративно-прикладного творчества «С Новым годом, друзья!»;  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районный конкурс на лучшее мероприятие, посвящённое Году семьи «Это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главное слово - семья»;</w:t>
      </w:r>
    </w:p>
    <w:p>
      <w:pPr>
        <w:spacing w:after="160" w:beforeAutospacing="0" w:afterAutospacing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-  районный конкурс-выставка детских рисунков «Нам подвиг Сталинграда не забыть!»;</w:t>
      </w:r>
    </w:p>
    <w:p>
      <w:pPr>
        <w:spacing w:after="160" w:beforeAutospacing="0" w:afterAutospacing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- районный  общежанровый  смотр коллективов самодеятельного художественного творчества «Родной земли многоголосье»;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-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районный конкурс  «Самая благоустроенная территория учреждения культуры 2024 г.»;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III районный фестиваль фольклорных коллективов «Родники народной культуры»;</w:t>
      </w:r>
    </w:p>
    <w:p>
      <w:pPr>
        <w:spacing w:after="160" w:beforeAutospacing="0" w:afterAutospacing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- </w:t>
      </w:r>
      <w:r>
        <w:rPr>
          <w:rFonts w:ascii="Times New Roman" w:hAnsi="Times New Roman"/>
          <w:sz w:val="24"/>
        </w:rPr>
        <w:t>районный конкурс на лучшее мероприятие, посвященное Год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сем</w:t>
      </w:r>
      <w:r>
        <w:rPr>
          <w:rFonts w:ascii="Times New Roman" w:hAnsi="Times New Roman"/>
          <w:sz w:val="24"/>
        </w:rPr>
        <w:t>ьи</w:t>
      </w:r>
      <w:r>
        <w:rPr>
          <w:rFonts w:ascii="Times New Roman" w:hAnsi="Times New Roman"/>
          <w:sz w:val="24"/>
        </w:rPr>
        <w:t xml:space="preserve"> «Мой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Брянский край, ты сердцу дорог»;</w:t>
      </w:r>
    </w:p>
    <w:p>
      <w:pPr>
        <w:spacing w:after="1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районный конкурс чтецов  «О Брянщине, всем сердцем», посвященном  80-летию образования Брянской области;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районный конкурс детских рисунков, посвященный году семьи «Моя семья»</w:t>
      </w:r>
    </w:p>
    <w:p>
      <w:pPr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Семинар-практикум: «Открытие Года семьи»</w:t>
      </w:r>
    </w:p>
    <w:p>
      <w:pPr>
        <w:pStyle w:val="P1"/>
        <w:ind w:hanging="426" w:left="426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Торжественное открытие Года семьи.</w:t>
      </w:r>
    </w:p>
    <w:p>
      <w:pPr>
        <w:spacing w:after="160" w:beforeAutospacing="0" w:afterAutospacing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Методическая подборка «В блокнот работнику КДУ: Названия и формы мероприятий в рамках Года семьи»;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ФЕВРАЛЬ</w:t>
      </w:r>
    </w:p>
    <w:p>
      <w:pPr>
        <w:pStyle w:val="P1"/>
        <w:ind w:left="426"/>
        <w:jc w:val="center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Совещание работников культуры «Информация об учебной программе районной школы повышения  квалификации на 2024 год».</w:t>
      </w:r>
    </w:p>
    <w:p>
      <w:pPr>
        <w:pStyle w:val="P1"/>
        <w:rPr>
          <w:rFonts w:ascii="Times New Roman" w:hAnsi="Times New Roman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Информация об учебной программе районной школы повышения  квалификации на 2024 год.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Анализ текстовых и статистических отчётов деятельности КДУ.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3. Плановые показатели на 2024 год.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 Охрана труда и антитеррористическая безопасность в КДУ.</w:t>
      </w:r>
    </w:p>
    <w:p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5. </w:t>
      </w:r>
      <w:r>
        <w:rPr>
          <w:rFonts w:ascii="Times New Roman" w:hAnsi="Times New Roman"/>
          <w:sz w:val="24"/>
        </w:rPr>
        <w:t>«Методические рекомендации по проведению клубных мероприятий, посвященных 115- летию Б.А.Мокроусова»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Семинар-практикум «Обновление базы данных».  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Пополнение и уточнение базы данных КДУ 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по клубным формированиям,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по комнатам и уголкам крестьянского быта,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по мастерам ДПИ.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Семинар-практикум для вновь поступивших работников «Требования к организации учета и отчетности в деятельности культурно-досуговых учреждений» 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Оформление  документации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Ведение журналов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3. Составление планов, смет, подбор репертуара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 Составление планов.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Заполнение журналов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МАРТ 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Тематический семинар: «Организация семейного досуга в условиях деятельности сельских учреждений культуры».</w:t>
      </w:r>
    </w:p>
    <w:p>
      <w:pPr>
        <w:pStyle w:val="P1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numPr>
          <w:ilvl w:val="0"/>
          <w:numId w:val="3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Анализ деятельности сельских учреждений по организации семейного досуга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Организация и проведение массовых мероприятий, направленных на позитивный семейный отдых  и развитие творческого потенциала семьи.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Пропаганда и возрождение семейных традиций и работа по укреплению семейных ценностей.</w:t>
      </w:r>
    </w:p>
    <w:p>
      <w:pPr>
        <w:pStyle w:val="P1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 Роль клубов по интересам и любительских объединений в организации семейного досуга.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Методические рекомендации «Организация семейного досуга в условиях деятельности сельских учреждений культуры»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numPr>
          <w:ilvl w:val="0"/>
          <w:numId w:val="4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Мастер-класс по изготовлению народной куклы «Масленица»</w:t>
      </w:r>
    </w:p>
    <w:p>
      <w:pPr>
        <w:pStyle w:val="P1"/>
        <w:ind w:left="720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color w:val="FF0000"/>
          <w:sz w:val="24"/>
        </w:rPr>
        <w:t xml:space="preserve">  </w:t>
      </w:r>
      <w:r>
        <w:rPr>
          <w:rFonts w:ascii="Times New Roman" w:hAnsi="Times New Roman"/>
          <w:b w:val="1"/>
          <w:color w:val="auto"/>
          <w:sz w:val="24"/>
          <w:u w:val="single"/>
        </w:rPr>
        <w:t>Семинар- практикум для вновь поступивших работников: «Школа специалиста».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numPr>
          <w:ilvl w:val="0"/>
          <w:numId w:val="5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Формы и методы работы культурно-досуговых учреждений.</w:t>
      </w:r>
    </w:p>
    <w:p>
      <w:pPr>
        <w:pStyle w:val="P1"/>
        <w:numPr>
          <w:ilvl w:val="0"/>
          <w:numId w:val="5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Клубные формирования. Основные принципы функционирования.</w:t>
      </w:r>
    </w:p>
    <w:p>
      <w:pPr>
        <w:pStyle w:val="P1"/>
        <w:numPr>
          <w:ilvl w:val="0"/>
          <w:numId w:val="5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Методическая разработка «В блокнот работнику КДУ: Памятка отчетности»</w:t>
      </w:r>
    </w:p>
    <w:p>
      <w:pPr>
        <w:pStyle w:val="P1"/>
        <w:ind w:left="284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Видеообзор мероприятий с последующим обсуждением и анализом.</w:t>
      </w:r>
    </w:p>
    <w:p>
      <w:pPr>
        <w:pStyle w:val="P1"/>
        <w:tabs>
          <w:tab w:val="left" w:pos="2850" w:leader="none"/>
        </w:tabs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Совещание работников культуры, посвящённое Дню работника культуры.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Выступление начальника отдела культуры, молодёжной политики и спорта.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Награждение.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3. </w:t>
      </w:r>
      <w:r>
        <w:rPr>
          <w:rFonts w:ascii="Times New Roman" w:hAnsi="Times New Roman"/>
          <w:sz w:val="24"/>
        </w:rPr>
        <w:t>Тематический концерт «Работник культуры – это призвание!».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АПРЕЛЬ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Тематический семинар: «Работа КДУ по профилактике асоциальных явлений различными формами».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Что такое экстремизм? Преступления экстремистской направленности и проявления экстремистской деятельности.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Что такое буллинг? Каким бывает буллинг.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color w:val="000000"/>
          <w:sz w:val="24"/>
        </w:rPr>
        <w:t>Подготовка и проведение мероприятий по профилактике правонарушений и безнадзорности несовершеннолетних.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«Методические рекомендации по правовому воспитанию детей и подростков»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ЗАНЯТИЕ: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Секция художественных руководителей.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Занятия с методистом по работе с детьми.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Деловые и ролевые игры для молодёжи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Совещание работников культуры «Подготовка и проведение мероприятий, посвящённых 79-й годовщине Победы».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Подготовка и проведение мероприятий, посвящённых 79-й годовщине Победы.</w:t>
      </w:r>
    </w:p>
    <w:p>
      <w:pPr>
        <w:tabs>
          <w:tab w:val="left" w:pos="5245" w:leader="none"/>
        </w:tabs>
        <w:spacing w:lineRule="auto" w:line="240" w:after="0" w:beforeAutospacing="0" w:afterAutospacing="0"/>
        <w:rPr>
          <w:color w:val="auto"/>
        </w:rPr>
      </w:pPr>
      <w:r>
        <w:rPr>
          <w:rFonts w:ascii="Times New Roman" w:hAnsi="Times New Roman"/>
          <w:color w:val="auto"/>
          <w:sz w:val="24"/>
        </w:rPr>
        <w:t>2. Рекомендации по оформлению культурно-досуговых учреждений в рамках празднования Дня Победы.</w:t>
      </w:r>
    </w:p>
    <w:p>
      <w:pPr>
        <w:tabs>
          <w:tab w:val="left" w:pos="5245" w:leader="none"/>
        </w:tabs>
        <w:spacing w:lineRule="auto" w:line="240" w:after="0" w:beforeAutospacing="0" w:afterAutospacing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3. Методическая подборка «В блокнот работнику КДУ: Названия и формы мероприятий в рамках Дня Победы».</w:t>
      </w:r>
    </w:p>
    <w:p>
      <w:pPr>
        <w:pStyle w:val="P1"/>
        <w:rPr>
          <w:rFonts w:ascii="Times New Roman" w:hAnsi="Times New Roman"/>
          <w:color w:val="auto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МАЙ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Тематический семинар: «Основные задачи коллективов любительского художественного творчества».</w:t>
      </w:r>
    </w:p>
    <w:p>
      <w:pPr>
        <w:pStyle w:val="P1"/>
        <w:rPr>
          <w:rFonts w:ascii="Times New Roman" w:hAnsi="Times New Roman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Роль</w:t>
      </w:r>
      <w:r>
        <w:rPr>
          <w:rFonts w:ascii="Times New Roman" w:hAnsi="Times New Roman"/>
          <w:b w:val="0"/>
          <w:color w:val="auto"/>
          <w:sz w:val="24"/>
          <w:u w:val="none"/>
        </w:rPr>
        <w:t xml:space="preserve"> коллективов любительского художественного творчества в организации досуга различных социальных групп населения.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Принцип подбора репертуара коллективов любительского художественного творчества.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3. Организация деятельности коллективов любительского художественного творчества.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4. Учебно-воспитательная и творческо-организационная работа в коллективах любительского художественного творчества. 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color w:val="auto"/>
          <w:sz w:val="24"/>
          <w:u w:val="single"/>
        </w:rPr>
      </w:pPr>
      <w:r>
        <w:rPr>
          <w:rFonts w:ascii="Times New Roman" w:hAnsi="Times New Roman"/>
          <w:color w:val="auto"/>
          <w:sz w:val="24"/>
          <w:u w:val="single"/>
        </w:rPr>
        <w:t>Секция художественных руководителей.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Занятия с хормейстером народного ансамбля песни и танца.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Занятия с балетмейстером народного ансамбля песни и танца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Круглый стол: «Организация работы в пришкольных летних оздоровительных лагерях»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Проблемы в работе с детьми и подростками и пути их решения.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Информационно-просветительская и рекреативно-оздоровительная деятельность КДУ.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3. Обмен опытом по организации мероприятий компании «Лето детям».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FF0000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ИЮНЬ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ind w:hanging="0" w:left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Тематический семинар: «Координация деятельности по сохранению нематериального культурного наследия и развития традиционной народной  художественной культуры».</w:t>
      </w:r>
    </w:p>
    <w:p>
      <w:pPr>
        <w:pStyle w:val="P1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numPr>
          <w:ilvl w:val="0"/>
          <w:numId w:val="7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Общность и различия народной художественной культуры и народного художественного творчества.</w:t>
      </w:r>
    </w:p>
    <w:p>
      <w:pPr>
        <w:pStyle w:val="P1"/>
        <w:numPr>
          <w:ilvl w:val="0"/>
          <w:numId w:val="7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Единые принципы функционирования форм народного художественного творчества.</w:t>
      </w:r>
    </w:p>
    <w:p>
      <w:pPr>
        <w:pStyle w:val="P1"/>
        <w:numPr>
          <w:ilvl w:val="0"/>
          <w:numId w:val="7"/>
        </w:numPr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Методические рекомендации «Народное художественное творчество, как основа художественной культуры общества».</w:t>
      </w: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  <w:u w:val="single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numPr>
          <w:ilvl w:val="0"/>
          <w:numId w:val="8"/>
        </w:numPr>
        <w:ind w:hanging="426" w:left="426"/>
        <w:rPr>
          <w:rFonts w:ascii="Times New Roman" w:hAnsi="Times New Roman"/>
          <w:color w:val="auto"/>
          <w:sz w:val="24"/>
          <w:u w:val="single"/>
        </w:rPr>
      </w:pPr>
      <w:r>
        <w:rPr>
          <w:rFonts w:ascii="Times New Roman" w:hAnsi="Times New Roman"/>
          <w:color w:val="auto"/>
          <w:sz w:val="24"/>
        </w:rPr>
        <w:t>Ведение учета нематериальных духовных ценностей.</w:t>
      </w:r>
    </w:p>
    <w:p>
      <w:pPr>
        <w:pStyle w:val="P1"/>
        <w:numPr>
          <w:ilvl w:val="0"/>
          <w:numId w:val="8"/>
        </w:numPr>
        <w:ind w:hanging="426" w:left="426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Посещение персональной выставки народного мастера Брянской области Н.В. Михалькиной «Семья - душа России».</w:t>
      </w:r>
    </w:p>
    <w:p>
      <w:pPr>
        <w:pStyle w:val="P1"/>
        <w:ind w:left="284"/>
        <w:rPr>
          <w:rFonts w:ascii="Times New Roman" w:hAnsi="Times New Roman"/>
          <w:color w:val="auto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ИЮЛЬ</w:t>
      </w: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Семинар- практикум: «Фольклор - важная часть национальной духовной культуры народа».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III районный фестиваль фольклорных коллективов «Родники народной культуры».</w:t>
      </w:r>
    </w:p>
    <w:p>
      <w:pPr>
        <w:pStyle w:val="P1"/>
        <w:rPr>
          <w:rFonts w:ascii="Times New Roman" w:hAnsi="Times New Roman"/>
          <w:b w:val="0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</w:rPr>
        <w:t xml:space="preserve">2. </w:t>
      </w:r>
      <w:r>
        <w:rPr>
          <w:rFonts w:ascii="Times New Roman" w:hAnsi="Times New Roman"/>
          <w:b w:val="0"/>
          <w:color w:val="auto"/>
          <w:sz w:val="24"/>
          <w:u w:val="none"/>
        </w:rPr>
        <w:t>Изучение, возрождение, развитие фольклора в Почепском районе.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pStyle w:val="P1"/>
        <w:ind w:left="284"/>
        <w:rPr>
          <w:rFonts w:ascii="Times New Roman" w:hAnsi="Times New Roman"/>
          <w:color w:val="FF0000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АВГУСТ</w:t>
      </w: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Тематический семинар: «</w:t>
      </w:r>
      <w:r>
        <w:rPr>
          <w:rFonts w:ascii="Times New Roman" w:hAnsi="Times New Roman"/>
          <w:b w:val="1"/>
          <w:color w:val="auto"/>
          <w:sz w:val="24"/>
          <w:u w:val="single"/>
        </w:rPr>
        <w:t>Клуб в клубе</w:t>
      </w:r>
      <w:r>
        <w:rPr>
          <w:rFonts w:ascii="Times New Roman" w:hAnsi="Times New Roman"/>
          <w:b w:val="1"/>
          <w:color w:val="auto"/>
          <w:sz w:val="24"/>
          <w:u w:val="single"/>
        </w:rPr>
        <w:t>»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</w:t>
      </w:r>
      <w:r>
        <w:rPr>
          <w:rFonts w:ascii="Times New Roman" w:hAnsi="Times New Roman"/>
          <w:color w:val="auto"/>
          <w:sz w:val="24"/>
        </w:rPr>
        <w:t>Нормативн</w:t>
      </w:r>
      <w:r>
        <w:rPr>
          <w:rFonts w:ascii="Times New Roman" w:hAnsi="Times New Roman"/>
          <w:color w:val="auto"/>
          <w:sz w:val="24"/>
        </w:rPr>
        <w:t xml:space="preserve">ая </w:t>
      </w:r>
      <w:r>
        <w:rPr>
          <w:rFonts w:ascii="Times New Roman" w:hAnsi="Times New Roman"/>
          <w:color w:val="auto"/>
          <w:sz w:val="24"/>
        </w:rPr>
        <w:t>документация деятельности клубов по интересам и любительских объединений.</w:t>
      </w: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2. </w:t>
      </w:r>
      <w:r>
        <w:rPr>
          <w:rFonts w:ascii="Times New Roman" w:hAnsi="Times New Roman"/>
          <w:color w:val="auto"/>
          <w:sz w:val="24"/>
        </w:rPr>
        <w:t>Ф</w:t>
      </w:r>
      <w:r>
        <w:rPr>
          <w:rFonts w:ascii="Times New Roman" w:hAnsi="Times New Roman"/>
          <w:color w:val="auto"/>
          <w:sz w:val="24"/>
        </w:rPr>
        <w:t xml:space="preserve">ормы и методы работы в </w:t>
      </w:r>
      <w:r>
        <w:rPr>
          <w:rFonts w:ascii="Times New Roman" w:hAnsi="Times New Roman"/>
          <w:color w:val="auto"/>
          <w:sz w:val="24"/>
        </w:rPr>
        <w:t xml:space="preserve"> клуб</w:t>
      </w:r>
      <w:r>
        <w:rPr>
          <w:rFonts w:ascii="Times New Roman" w:hAnsi="Times New Roman"/>
          <w:color w:val="auto"/>
          <w:sz w:val="24"/>
        </w:rPr>
        <w:t>ах</w:t>
      </w:r>
      <w:r>
        <w:rPr>
          <w:rFonts w:ascii="Times New Roman" w:hAnsi="Times New Roman"/>
          <w:color w:val="auto"/>
          <w:sz w:val="24"/>
        </w:rPr>
        <w:t xml:space="preserve"> по интересам и любительских объединени</w:t>
      </w:r>
      <w:r>
        <w:rPr>
          <w:rFonts w:ascii="Times New Roman" w:hAnsi="Times New Roman"/>
          <w:color w:val="auto"/>
          <w:sz w:val="24"/>
        </w:rPr>
        <w:t>ях</w:t>
      </w:r>
      <w:r>
        <w:rPr>
          <w:rFonts w:ascii="Times New Roman" w:hAnsi="Times New Roman"/>
          <w:color w:val="auto"/>
          <w:sz w:val="24"/>
        </w:rPr>
        <w:t>.</w:t>
      </w:r>
    </w:p>
    <w:p>
      <w:pPr>
        <w:pStyle w:val="P1"/>
        <w:rPr>
          <w:rFonts w:ascii="Times New Roman" w:hAnsi="Times New Roman"/>
          <w:b w:val="0"/>
          <w:color w:val="auto"/>
          <w:sz w:val="24"/>
          <w:u w:val="none"/>
        </w:rPr>
      </w:pPr>
      <w:r>
        <w:rPr>
          <w:rFonts w:ascii="Times New Roman" w:hAnsi="Times New Roman"/>
          <w:color w:val="auto"/>
          <w:sz w:val="24"/>
        </w:rPr>
        <w:t xml:space="preserve">3. </w:t>
      </w:r>
      <w:r>
        <w:rPr>
          <w:rFonts w:ascii="Times New Roman" w:hAnsi="Times New Roman"/>
          <w:color w:val="auto"/>
          <w:sz w:val="24"/>
        </w:rPr>
        <w:t xml:space="preserve">Методические рекомендации по организации любительских объединений </w:t>
      </w:r>
      <w:r>
        <w:rPr>
          <w:rFonts w:ascii="Times New Roman" w:hAnsi="Times New Roman"/>
          <w:b w:val="0"/>
          <w:color w:val="auto"/>
          <w:sz w:val="24"/>
          <w:u w:val="none"/>
        </w:rPr>
        <w:t>«Клуб в клубе»</w:t>
      </w:r>
      <w:r>
        <w:rPr>
          <w:rFonts w:ascii="Times New Roman" w:hAnsi="Times New Roman"/>
          <w:b w:val="0"/>
          <w:color w:val="auto"/>
          <w:sz w:val="24"/>
          <w:u w:val="none"/>
        </w:rPr>
        <w:t>.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auto"/>
          <w:sz w:val="24"/>
          <w:u w:val="none"/>
        </w:rPr>
        <w:t xml:space="preserve">Тренинг </w:t>
      </w:r>
      <w:r>
        <w:rPr>
          <w:rFonts w:ascii="Times New Roman" w:hAnsi="Times New Roman"/>
          <w:color w:val="auto"/>
          <w:sz w:val="24"/>
        </w:rPr>
        <w:t>«</w:t>
      </w:r>
      <w:r>
        <w:rPr>
          <w:rFonts w:ascii="Times New Roman" w:hAnsi="Times New Roman"/>
          <w:color w:val="auto"/>
          <w:sz w:val="24"/>
        </w:rPr>
        <w:t>Навыки общения и управления стрессами</w:t>
      </w:r>
      <w:r>
        <w:rPr>
          <w:rFonts w:ascii="Times New Roman" w:hAnsi="Times New Roman"/>
          <w:color w:val="auto"/>
          <w:sz w:val="24"/>
        </w:rPr>
        <w:t>»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СЕНТЯБРЬ</w:t>
      </w:r>
    </w:p>
    <w:p>
      <w:pPr>
        <w:pStyle w:val="P1"/>
        <w:tabs>
          <w:tab w:val="left" w:pos="2580" w:leader="none"/>
        </w:tabs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Совещание работников культуры по подготовке и проведению мероприятий, посвящённых 81 -й годовщине освобождения  Брянской области от немецко-фашистских захватчиков</w:t>
      </w:r>
      <w:r>
        <w:rPr>
          <w:rFonts w:ascii="Times New Roman" w:hAnsi="Times New Roman"/>
          <w:b w:val="1"/>
          <w:color w:val="auto"/>
          <w:sz w:val="24"/>
        </w:rPr>
        <w:t>.</w:t>
      </w:r>
    </w:p>
    <w:p>
      <w:pPr>
        <w:pStyle w:val="P1"/>
        <w:rPr>
          <w:rFonts w:ascii="Times New Roman" w:hAnsi="Times New Roman"/>
          <w:color w:val="auto"/>
          <w:sz w:val="24"/>
        </w:rPr>
      </w:pPr>
    </w:p>
    <w:p>
      <w:pPr>
        <w:pStyle w:val="P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Организация и проведение мероприятий, посвящённых 81-й годовщине освобождения</w:t>
      </w:r>
      <w:r>
        <w:rPr>
          <w:rFonts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</w:rPr>
        <w:t xml:space="preserve"> Брянской области от немецко-фашистских захватчиков.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Экспресс – обзор: «Онлайн-акции и мероприятия»</w:t>
      </w:r>
    </w:p>
    <w:p>
      <w:pPr>
        <w:pStyle w:val="P1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pStyle w:val="P1"/>
        <w:ind w:hanging="426" w:left="426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Мониторинг освещения мероприятий в социальных сетях КДУ.</w:t>
      </w:r>
    </w:p>
    <w:p>
      <w:pPr>
        <w:pStyle w:val="P1"/>
        <w:ind w:hanging="284" w:left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Формы онлайн-мероприятий.</w:t>
      </w: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rPr>
          <w:rFonts w:ascii="Times New Roman" w:hAnsi="Times New Roman"/>
          <w:color w:val="FF0000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ОКТЯБРЬ</w:t>
      </w:r>
    </w:p>
    <w:p>
      <w:pPr>
        <w:pStyle w:val="P1"/>
        <w:jc w:val="center"/>
        <w:rPr>
          <w:rFonts w:ascii="Times New Roman" w:hAnsi="Times New Roman"/>
          <w:b w:val="1"/>
          <w:color w:val="FF0000"/>
          <w:sz w:val="24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Тематический семинар «Формирование позитивного образа жизни пожилых людей через организацию их досуга»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Социально-культурная деятельность пожилых людей.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Особенности работы клубных формирований для пожилых людей.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Развитие творческой активности.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«Методические рекомендации по проведению мероприятий для пожилых людей».</w:t>
      </w:r>
    </w:p>
    <w:p>
      <w:pPr>
        <w:pStyle w:val="P1"/>
        <w:rPr>
          <w:rFonts w:ascii="Times New Roman" w:hAnsi="Times New Roman"/>
          <w:noProof w:val="1"/>
          <w:color w:val="FF0000"/>
          <w:sz w:val="24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  <w:u w:val="single"/>
        </w:rPr>
      </w:pPr>
      <w:r>
        <w:rPr>
          <w:rFonts w:ascii="Times New Roman" w:hAnsi="Times New Roman"/>
          <w:noProof w:val="1"/>
          <w:color w:val="auto"/>
          <w:sz w:val="24"/>
          <w:u w:val="single"/>
        </w:rPr>
        <w:t>Секция художественных руководителей.</w:t>
      </w:r>
    </w:p>
    <w:p>
      <w:pPr>
        <w:pStyle w:val="P1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1. Занятия с заведующей методическим отделом  «Разработка программы клуба по интересам для пожилых людей» . </w:t>
      </w:r>
    </w:p>
    <w:p>
      <w:pPr>
        <w:pStyle w:val="P1"/>
        <w:jc w:val="center"/>
        <w:rPr>
          <w:rFonts w:ascii="Times New Roman" w:hAnsi="Times New Roman"/>
          <w:b w:val="1"/>
          <w:noProof w:val="1"/>
          <w:color w:val="FF0000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noProof w:val="1"/>
          <w:color w:val="auto"/>
          <w:sz w:val="24"/>
          <w:u w:val="single"/>
        </w:rPr>
        <w:t>НОЯБРЬ</w:t>
      </w:r>
    </w:p>
    <w:p>
      <w:pPr>
        <w:pStyle w:val="P1"/>
        <w:jc w:val="center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noProof w:val="1"/>
          <w:color w:val="auto"/>
          <w:sz w:val="24"/>
          <w:u w:val="single"/>
        </w:rPr>
        <w:t>Тематический семинар: «Методика информационно-просветительной деятельности».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1. Формирование интереса и потребности в </w:t>
      </w:r>
      <w:r>
        <w:rPr>
          <w:rFonts w:ascii="Times New Roman" w:hAnsi="Times New Roman"/>
          <w:b w:val="0"/>
          <w:noProof w:val="1"/>
          <w:color w:val="auto"/>
          <w:sz w:val="24"/>
          <w:u w:val="none"/>
        </w:rPr>
        <w:t xml:space="preserve">информационно-просветительской деятельности </w:t>
      </w:r>
      <w:r>
        <w:rPr>
          <w:rFonts w:ascii="Times New Roman" w:hAnsi="Times New Roman"/>
          <w:noProof w:val="1"/>
          <w:color w:val="auto"/>
          <w:sz w:val="24"/>
        </w:rPr>
        <w:t>в КДУ.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2. Научно-методические основы информационно-просветительных мероприятий.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2. Синтез традиций и инноваций.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3. Деловые игры, круглые столы, тренинги.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1. Деловая игра «Менеджер КДУ».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2. Деловая игра по социокультурному проектированию  «Шаг за шагом».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Семинар- практикум: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bookmarkStart w:id="0" w:name="_dx_frag_StartFragment"/>
      <w:bookmarkEnd w:id="0"/>
      <w:r>
        <w:rPr>
          <w:rFonts w:ascii="Times New Roman" w:hAnsi="Times New Roman"/>
          <w:b w:val="1"/>
          <w:noProof w:val="1"/>
          <w:sz w:val="24"/>
          <w:u w:val="single"/>
        </w:rPr>
        <w:t xml:space="preserve"> «</w:t>
      </w:r>
      <w:r>
        <w:rPr>
          <w:rFonts w:ascii="Times New Roman" w:hAnsi="Times New Roman"/>
          <w:b w:val="1"/>
          <w:noProof w:val="1"/>
          <w:sz w:val="24"/>
          <w:u w:val="single"/>
        </w:rPr>
        <w:t>Програм</w:t>
      </w:r>
      <w:r>
        <w:rPr>
          <w:rFonts w:ascii="Times New Roman" w:hAnsi="Times New Roman"/>
          <w:b w:val="1"/>
          <w:noProof w:val="1"/>
          <w:sz w:val="24"/>
          <w:u w:val="single"/>
        </w:rPr>
        <w:t>м</w:t>
      </w:r>
      <w:r>
        <w:rPr>
          <w:rFonts w:ascii="Times New Roman" w:hAnsi="Times New Roman"/>
          <w:b w:val="1"/>
          <w:noProof w:val="1"/>
          <w:sz w:val="24"/>
          <w:u w:val="single"/>
        </w:rPr>
        <w:t>ирование для начинающих</w:t>
      </w:r>
      <w:r>
        <w:rPr>
          <w:rFonts w:ascii="Times New Roman" w:hAnsi="Times New Roman"/>
          <w:b w:val="1"/>
          <w:sz w:val="24"/>
          <w:u w:val="single"/>
        </w:rPr>
        <w:t>»</w:t>
      </w:r>
      <w:r>
        <w:rPr>
          <w:rFonts w:ascii="Times New Roman" w:hAnsi="Times New Roman"/>
          <w:b w:val="1"/>
          <w:sz w:val="24"/>
          <w:u w:val="single"/>
        </w:rPr>
        <w:t>.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>1.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noProof w:val="1"/>
          <w:sz w:val="24"/>
        </w:rPr>
        <w:t>«</w:t>
      </w:r>
      <w:r>
        <w:rPr>
          <w:rFonts w:ascii="Times New Roman" w:hAnsi="Times New Roman"/>
          <w:noProof w:val="1"/>
          <w:sz w:val="24"/>
        </w:rPr>
        <w:t xml:space="preserve">Методические рекомендации по проведению </w:t>
      </w:r>
      <w:r>
        <w:rPr>
          <w:rFonts w:ascii="Times New Roman" w:hAnsi="Times New Roman"/>
          <w:noProof w:val="1"/>
          <w:sz w:val="24"/>
        </w:rPr>
        <w:t>PR-компании в социальной сфере</w:t>
      </w:r>
      <w:r>
        <w:rPr>
          <w:rFonts w:ascii="Times New Roman" w:hAnsi="Times New Roman"/>
          <w:noProof w:val="1"/>
          <w:sz w:val="24"/>
        </w:rPr>
        <w:t>»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1. Компьютерное обучение </w:t>
      </w:r>
      <w:r>
        <w:rPr>
          <w:rFonts w:ascii="Times New Roman" w:hAnsi="Times New Roman"/>
          <w:noProof w:val="1"/>
          <w:sz w:val="24"/>
        </w:rPr>
        <w:t xml:space="preserve"> «</w:t>
      </w:r>
      <w:r>
        <w:rPr>
          <w:rFonts w:ascii="Times New Roman" w:hAnsi="Times New Roman"/>
          <w:noProof w:val="1"/>
          <w:sz w:val="24"/>
        </w:rPr>
        <w:t>Оформление документации</w:t>
      </w:r>
      <w:r>
        <w:rPr>
          <w:rFonts w:ascii="Times New Roman" w:hAnsi="Times New Roman"/>
          <w:noProof w:val="1"/>
          <w:sz w:val="24"/>
        </w:rPr>
        <w:t>»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noProof w:val="1"/>
          <w:color w:val="auto"/>
          <w:sz w:val="24"/>
          <w:u w:val="single"/>
        </w:rPr>
        <w:t>ДЕКАБРЬ</w:t>
      </w:r>
    </w:p>
    <w:p>
      <w:pPr>
        <w:pStyle w:val="P1"/>
        <w:jc w:val="center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</w:p>
    <w:p>
      <w:pPr>
        <w:tabs>
          <w:tab w:val="left" w:pos="142" w:leader="none"/>
          <w:tab w:val="left" w:pos="284" w:leader="none"/>
        </w:tabs>
        <w:ind w:hanging="0" w:left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Тематический семинар: «Организация и проведение Новогодних мероприятий в учреждениях культуры».  </w:t>
      </w:r>
    </w:p>
    <w:p>
      <w:pPr>
        <w:pStyle w:val="P1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Особенности проведения новогодних мероприятий для детей.</w:t>
      </w:r>
    </w:p>
    <w:p>
      <w:pPr>
        <w:pStyle w:val="P1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Формы работы с молодёжной аудиторией.</w:t>
      </w:r>
    </w:p>
    <w:p>
      <w:pPr>
        <w:pStyle w:val="P1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Новогодние мероприятия для взрослого населения.</w:t>
      </w:r>
    </w:p>
    <w:p>
      <w:pPr>
        <w:pStyle w:val="P1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Роль сценического и музыкального оформления новогодних мероприятий.</w:t>
      </w:r>
    </w:p>
    <w:p>
      <w:pPr>
        <w:pStyle w:val="P1"/>
        <w:ind w:hanging="0" w:left="0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noProof w:val="1"/>
          <w:color w:val="auto"/>
          <w:sz w:val="24"/>
          <w:u w:val="single"/>
        </w:rPr>
        <w:t>Творческая мастерская: «Новогодние чудеса»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 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1. Интерактивные новогодние игры, танцы.  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2. Новогоднее оформление своими руками.</w:t>
      </w:r>
    </w:p>
    <w:p>
      <w:pPr>
        <w:pStyle w:val="P1"/>
        <w:rPr>
          <w:rFonts w:ascii="Times New Roman" w:hAnsi="Times New Roman"/>
          <w:b w:val="1"/>
          <w:noProof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noProof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noProof w:val="1"/>
          <w:color w:val="auto"/>
          <w:sz w:val="24"/>
          <w:u w:val="single"/>
        </w:rPr>
        <w:t>Совещание: «Безопасная организация новогодних и рождественских мероприятий»</w:t>
      </w:r>
    </w:p>
    <w:p>
      <w:pPr>
        <w:pStyle w:val="P1"/>
        <w:rPr>
          <w:rFonts w:ascii="Times New Roman" w:hAnsi="Times New Roman"/>
          <w:b w:val="1"/>
          <w:noProof w:val="1"/>
          <w:color w:val="auto"/>
          <w:sz w:val="24"/>
          <w:u w:val="single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1. Требования пожарной безопасности при проведении новогодних  и рождественских мероприятий.  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2. Меры антитеррористической безопасности в КДУ.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>ПРАКТИЧЕСКОЕ ЗАНЯТИЕ: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FF0000"/>
          <w:sz w:val="24"/>
        </w:rPr>
        <w:t xml:space="preserve"> </w:t>
      </w:r>
      <w:r>
        <w:rPr>
          <w:rFonts w:ascii="Times New Roman" w:hAnsi="Times New Roman"/>
          <w:noProof w:val="1"/>
          <w:color w:val="auto"/>
          <w:sz w:val="24"/>
        </w:rPr>
        <w:t>Инструктаж о мерах противопожарной безопасности в учреждениях культуры.</w:t>
      </w:r>
    </w:p>
    <w:p>
      <w:pPr>
        <w:pStyle w:val="P1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 Инструктаж о мерах безопасности с целью недопущения совершения террористических актов.</w:t>
      </w:r>
    </w:p>
    <w:p>
      <w:pPr>
        <w:pStyle w:val="P1"/>
        <w:rPr>
          <w:rFonts w:ascii="Times New Roman" w:hAnsi="Times New Roman"/>
          <w:noProof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noProof w:val="1"/>
          <w:color w:val="FF0000"/>
          <w:sz w:val="24"/>
          <w:u w:val="single"/>
        </w:rPr>
      </w:pPr>
    </w:p>
    <w:p>
      <w:pPr>
        <w:pStyle w:val="P1"/>
        <w:rPr>
          <w:rFonts w:ascii="Times New Roman" w:hAnsi="Times New Roman"/>
          <w:noProof w:val="1"/>
          <w:color w:val="FF0000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noProof w:val="1"/>
          <w:color w:val="auto"/>
          <w:sz w:val="24"/>
        </w:rPr>
      </w:pPr>
      <w:r>
        <w:rPr>
          <w:rFonts w:ascii="Times New Roman" w:hAnsi="Times New Roman"/>
          <w:noProof w:val="1"/>
          <w:color w:val="auto"/>
          <w:sz w:val="24"/>
        </w:rPr>
        <w:t xml:space="preserve">Заведующая методическим отделом МБУК «РМДК»                         Л.Б. Чемоданова</w:t>
      </w:r>
    </w:p>
    <w:p>
      <w:pPr>
        <w:pStyle w:val="P1"/>
        <w:rPr>
          <w:rFonts w:ascii="Times New Roman" w:hAnsi="Times New Roman"/>
          <w:noProof w:val="1"/>
          <w:color w:val="FF0000"/>
          <w:sz w:val="24"/>
        </w:rPr>
      </w:pPr>
    </w:p>
    <w:p>
      <w:pPr>
        <w:rPr>
          <w:rFonts w:ascii="Times New Roman" w:hAnsi="Times New Roman"/>
          <w:noProof w:val="1"/>
          <w:color w:val="FF0000"/>
          <w:sz w:val="24"/>
        </w:rPr>
      </w:pPr>
    </w:p>
    <w:p>
      <w:pPr>
        <w:rPr>
          <w:color w:val="FF0000"/>
        </w:rPr>
      </w:pPr>
    </w:p>
    <w:sectPr>
      <w:type w:val="nextPage"/>
      <w:pgSz w:w="11906" w:h="16838" w:code="9"/>
      <w:pgMar w:left="1701" w:right="850" w:top="709" w:bottom="99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3870BA0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1">
    <w:nsid w:val="2E2A3BC1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2">
    <w:nsid w:val="6F196A93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3">
    <w:nsid w:val="6C1A6391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4">
    <w:nsid w:val="07347FC2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5">
    <w:nsid w:val="06F46BC9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6">
    <w:nsid w:val="105138C7"/>
    <w:multiLevelType w:val="hybridMultilevel"/>
    <w:lvl w:ilvl="0" w:tplc="029C901A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>
        <w:rFonts w:ascii="Times New Roman" w:hAnsi="Times New Roman"/>
      </w:rPr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7">
    <w:nsid w:val="02F76720"/>
    <w:multiLevelType w:val="hybridMultilevel"/>
    <w:lvl w:ilvl="0" w:tplc="3F980F0E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>
        <w:rFonts w:ascii="Times New Roman" w:hAnsi="Times New Roman"/>
      </w:rPr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8">
    <w:nsid w:val="2FA91D90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9">
    <w:nsid w:val="246E3FB6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No Spacing"/>
    <w:basedOn w:val="P0"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